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892A2" w14:textId="091C3A10" w:rsidR="000937A1" w:rsidRPr="000937A1" w:rsidRDefault="000937A1" w:rsidP="000937A1">
      <w:pPr>
        <w:pStyle w:val="NormalWeb"/>
        <w:shd w:val="clear" w:color="auto" w:fill="E6E6E6"/>
        <w:spacing w:before="0" w:beforeAutospacing="0" w:after="240" w:afterAutospacing="0"/>
        <w:rPr>
          <w:rFonts w:asciiTheme="minorHAnsi" w:hAnsiTheme="minorHAnsi" w:cstheme="minorHAnsi"/>
          <w:color w:val="111111"/>
        </w:rPr>
      </w:pPr>
      <w:r w:rsidRPr="000937A1">
        <w:rPr>
          <w:rFonts w:asciiTheme="minorHAnsi" w:hAnsiTheme="minorHAnsi" w:cstheme="minorHAnsi"/>
          <w:color w:val="111111"/>
        </w:rPr>
        <w:t>Response #1 (Kelly Britton)</w:t>
      </w:r>
    </w:p>
    <w:p w14:paraId="0E5E2E36" w14:textId="650EC0D5" w:rsidR="000937A1" w:rsidRPr="000937A1" w:rsidRDefault="000937A1" w:rsidP="000937A1">
      <w:pPr>
        <w:pStyle w:val="NormalWeb"/>
        <w:shd w:val="clear" w:color="auto" w:fill="E6E6E6"/>
        <w:spacing w:before="0" w:beforeAutospacing="0" w:after="240" w:afterAutospacing="0"/>
        <w:rPr>
          <w:rFonts w:asciiTheme="minorHAnsi" w:hAnsiTheme="minorHAnsi" w:cstheme="minorHAnsi"/>
          <w:color w:val="111111"/>
        </w:rPr>
      </w:pPr>
      <w:r w:rsidRPr="000937A1">
        <w:rPr>
          <w:rFonts w:asciiTheme="minorHAnsi" w:hAnsiTheme="minorHAnsi" w:cstheme="minorHAnsi"/>
          <w:color w:val="111111"/>
        </w:rPr>
        <w:t xml:space="preserve">It has long been established </w:t>
      </w:r>
      <w:proofErr w:type="gramStart"/>
      <w:r w:rsidRPr="000937A1">
        <w:rPr>
          <w:rFonts w:asciiTheme="minorHAnsi" w:hAnsiTheme="minorHAnsi" w:cstheme="minorHAnsi"/>
          <w:color w:val="111111"/>
        </w:rPr>
        <w:t>that social relationships and physical health</w:t>
      </w:r>
      <w:proofErr w:type="gramEnd"/>
      <w:r w:rsidRPr="000937A1">
        <w:rPr>
          <w:rFonts w:asciiTheme="minorHAnsi" w:hAnsiTheme="minorHAnsi" w:cstheme="minorHAnsi"/>
          <w:color w:val="111111"/>
        </w:rPr>
        <w:t xml:space="preserve"> have a direct correlation (</w:t>
      </w:r>
      <w:proofErr w:type="spellStart"/>
      <w:r w:rsidRPr="000937A1">
        <w:rPr>
          <w:rFonts w:asciiTheme="minorHAnsi" w:hAnsiTheme="minorHAnsi" w:cstheme="minorHAnsi"/>
          <w:color w:val="111111"/>
        </w:rPr>
        <w:t>Pozgar</w:t>
      </w:r>
      <w:proofErr w:type="spellEnd"/>
      <w:r w:rsidRPr="000937A1">
        <w:rPr>
          <w:rFonts w:asciiTheme="minorHAnsi" w:hAnsiTheme="minorHAnsi" w:cstheme="minorHAnsi"/>
          <w:color w:val="111111"/>
        </w:rPr>
        <w:t>, 2020). Studies have shown that social isolation and loneliness are related to poor mental and physical health and an increased risk of overall mortality (</w:t>
      </w:r>
      <w:proofErr w:type="spellStart"/>
      <w:r w:rsidRPr="000937A1">
        <w:rPr>
          <w:rFonts w:asciiTheme="minorHAnsi" w:hAnsiTheme="minorHAnsi" w:cstheme="minorHAnsi"/>
          <w:color w:val="111111"/>
        </w:rPr>
        <w:t>Pozgar</w:t>
      </w:r>
      <w:proofErr w:type="spellEnd"/>
      <w:r w:rsidRPr="000937A1">
        <w:rPr>
          <w:rFonts w:asciiTheme="minorHAnsi" w:hAnsiTheme="minorHAnsi" w:cstheme="minorHAnsi"/>
          <w:color w:val="111111"/>
        </w:rPr>
        <w:t>, 2020). The stress-buffering model predicts that a strong social support system enables a person to handle stressors better, decreasing the adverse health effects of stress (</w:t>
      </w:r>
      <w:proofErr w:type="spellStart"/>
      <w:r w:rsidRPr="000937A1">
        <w:rPr>
          <w:rFonts w:asciiTheme="minorHAnsi" w:hAnsiTheme="minorHAnsi" w:cstheme="minorHAnsi"/>
          <w:color w:val="111111"/>
        </w:rPr>
        <w:t>Pozgar</w:t>
      </w:r>
      <w:proofErr w:type="spellEnd"/>
      <w:r w:rsidRPr="000937A1">
        <w:rPr>
          <w:rFonts w:asciiTheme="minorHAnsi" w:hAnsiTheme="minorHAnsi" w:cstheme="minorHAnsi"/>
          <w:color w:val="111111"/>
        </w:rPr>
        <w:t xml:space="preserve">, 2020). </w:t>
      </w:r>
      <w:proofErr w:type="gramStart"/>
      <w:r w:rsidRPr="000937A1">
        <w:rPr>
          <w:rFonts w:asciiTheme="minorHAnsi" w:hAnsiTheme="minorHAnsi" w:cstheme="minorHAnsi"/>
          <w:color w:val="111111"/>
        </w:rPr>
        <w:t>Interestingly enough, research</w:t>
      </w:r>
      <w:proofErr w:type="gramEnd"/>
      <w:r w:rsidRPr="000937A1">
        <w:rPr>
          <w:rFonts w:asciiTheme="minorHAnsi" w:hAnsiTheme="minorHAnsi" w:cstheme="minorHAnsi"/>
          <w:color w:val="111111"/>
        </w:rPr>
        <w:t xml:space="preserve"> shows that the perception of support better predicts lower mortality than received support (</w:t>
      </w:r>
      <w:proofErr w:type="spellStart"/>
      <w:r w:rsidRPr="000937A1">
        <w:rPr>
          <w:rFonts w:asciiTheme="minorHAnsi" w:hAnsiTheme="minorHAnsi" w:cstheme="minorHAnsi"/>
          <w:color w:val="111111"/>
        </w:rPr>
        <w:t>Pozgar</w:t>
      </w:r>
      <w:proofErr w:type="spellEnd"/>
      <w:r w:rsidRPr="000937A1">
        <w:rPr>
          <w:rFonts w:asciiTheme="minorHAnsi" w:hAnsiTheme="minorHAnsi" w:cstheme="minorHAnsi"/>
          <w:color w:val="111111"/>
        </w:rPr>
        <w:t>, 2020). </w:t>
      </w:r>
    </w:p>
    <w:p w14:paraId="76A24748" w14:textId="1470281A" w:rsidR="000937A1" w:rsidRPr="000937A1" w:rsidRDefault="000937A1" w:rsidP="000937A1">
      <w:pPr>
        <w:pStyle w:val="NormalWeb"/>
        <w:shd w:val="clear" w:color="auto" w:fill="E6E6E6"/>
        <w:spacing w:before="0" w:beforeAutospacing="0" w:after="240" w:afterAutospacing="0"/>
        <w:rPr>
          <w:rFonts w:asciiTheme="minorHAnsi" w:hAnsiTheme="minorHAnsi" w:cstheme="minorHAnsi"/>
          <w:color w:val="111111"/>
        </w:rPr>
      </w:pPr>
      <w:r w:rsidRPr="000937A1">
        <w:rPr>
          <w:rFonts w:asciiTheme="minorHAnsi" w:hAnsiTheme="minorHAnsi" w:cstheme="minorHAnsi"/>
          <w:color w:val="111111"/>
        </w:rPr>
        <w:t xml:space="preserve">Living with Ankylosing Spondylitis (AS), a chronic, degenerative inflammatory disease, I can speak firsthand on the effects of stress and social support on health. A few years ago, I was divorced from my spouse of 15 years. Losing my closest support system and enduring the stress that accompanies divorce, I became very sick. I had been managing chronic illness since my early twenties, but up to that point, it had mostly been controlled. A severe flare ensued that took a couple of years to get under control. During those couple of years, I underwent a rapid progression of my disease that still flares up under times of emotional stress. Research shows that a lack of social support adversely affects people already struggling with chronic rheumatic diseases such as </w:t>
      </w:r>
      <w:proofErr w:type="spellStart"/>
      <w:r w:rsidRPr="000937A1">
        <w:rPr>
          <w:rFonts w:asciiTheme="minorHAnsi" w:hAnsiTheme="minorHAnsi" w:cstheme="minorHAnsi"/>
          <w:color w:val="111111"/>
        </w:rPr>
        <w:t>AS</w:t>
      </w:r>
      <w:proofErr w:type="spellEnd"/>
      <w:r w:rsidRPr="000937A1">
        <w:rPr>
          <w:rFonts w:asciiTheme="minorHAnsi" w:hAnsiTheme="minorHAnsi" w:cstheme="minorHAnsi"/>
          <w:color w:val="111111"/>
        </w:rPr>
        <w:t xml:space="preserve"> (Kool &amp; </w:t>
      </w:r>
      <w:proofErr w:type="spellStart"/>
      <w:r w:rsidRPr="000937A1">
        <w:rPr>
          <w:rFonts w:asciiTheme="minorHAnsi" w:hAnsiTheme="minorHAnsi" w:cstheme="minorHAnsi"/>
          <w:color w:val="111111"/>
        </w:rPr>
        <w:t>Geenen</w:t>
      </w:r>
      <w:proofErr w:type="spellEnd"/>
      <w:r w:rsidRPr="000937A1">
        <w:rPr>
          <w:rFonts w:asciiTheme="minorHAnsi" w:hAnsiTheme="minorHAnsi" w:cstheme="minorHAnsi"/>
          <w:color w:val="111111"/>
        </w:rPr>
        <w:t>, 2012).</w:t>
      </w:r>
    </w:p>
    <w:p w14:paraId="3D19737C" w14:textId="77777777" w:rsidR="000937A1" w:rsidRDefault="000937A1" w:rsidP="000937A1">
      <w:pPr>
        <w:spacing w:line="240" w:lineRule="auto"/>
        <w:rPr>
          <w:rFonts w:cstheme="minorHAnsi"/>
          <w:color w:val="111111"/>
          <w:sz w:val="24"/>
          <w:szCs w:val="24"/>
          <w:shd w:val="clear" w:color="auto" w:fill="E6E6E6"/>
        </w:rPr>
      </w:pPr>
      <w:r>
        <w:rPr>
          <w:rFonts w:cstheme="minorHAnsi"/>
          <w:color w:val="111111"/>
          <w:sz w:val="24"/>
          <w:szCs w:val="24"/>
          <w:shd w:val="clear" w:color="auto" w:fill="E6E6E6"/>
        </w:rPr>
        <w:t>Response #2 (Clarissa Reel)</w:t>
      </w:r>
    </w:p>
    <w:p w14:paraId="6436D3F0" w14:textId="326DE5E6" w:rsidR="007F1BBC" w:rsidRPr="000937A1" w:rsidRDefault="000937A1" w:rsidP="000937A1">
      <w:pPr>
        <w:spacing w:line="240" w:lineRule="auto"/>
        <w:rPr>
          <w:rFonts w:cstheme="minorHAnsi"/>
          <w:b/>
          <w:bCs/>
          <w:sz w:val="24"/>
          <w:szCs w:val="24"/>
        </w:rPr>
      </w:pPr>
      <w:r w:rsidRPr="000937A1">
        <w:rPr>
          <w:rFonts w:cstheme="minorHAnsi"/>
          <w:color w:val="111111"/>
          <w:sz w:val="24"/>
          <w:szCs w:val="24"/>
          <w:shd w:val="clear" w:color="auto" w:fill="E6E6E6"/>
        </w:rPr>
        <w:t>Social support plays a huge role in health care outcomes. A “recent meta-analysis by Holt-</w:t>
      </w:r>
      <w:proofErr w:type="spellStart"/>
      <w:r w:rsidRPr="000937A1">
        <w:rPr>
          <w:rFonts w:cstheme="minorHAnsi"/>
          <w:color w:val="111111"/>
          <w:sz w:val="24"/>
          <w:szCs w:val="24"/>
          <w:shd w:val="clear" w:color="auto" w:fill="E6E6E6"/>
        </w:rPr>
        <w:t>Lunstad</w:t>
      </w:r>
      <w:proofErr w:type="spellEnd"/>
      <w:r w:rsidRPr="000937A1">
        <w:rPr>
          <w:rFonts w:cstheme="minorHAnsi"/>
          <w:color w:val="111111"/>
          <w:sz w:val="24"/>
          <w:szCs w:val="24"/>
          <w:shd w:val="clear" w:color="auto" w:fill="E6E6E6"/>
        </w:rPr>
        <w:t xml:space="preserve"> and colleagues found that those reporting greater social support </w:t>
      </w:r>
      <w:proofErr w:type="spellStart"/>
      <w:r w:rsidRPr="000937A1">
        <w:rPr>
          <w:rFonts w:cstheme="minorHAnsi"/>
          <w:color w:val="111111"/>
          <w:sz w:val="24"/>
          <w:szCs w:val="24"/>
          <w:shd w:val="clear" w:color="auto" w:fill="E6E6E6"/>
        </w:rPr>
        <w:t>wer</w:t>
      </w:r>
      <w:proofErr w:type="spellEnd"/>
      <w:r w:rsidRPr="000937A1">
        <w:rPr>
          <w:rFonts w:cstheme="minorHAnsi"/>
          <w:color w:val="111111"/>
          <w:sz w:val="24"/>
          <w:szCs w:val="24"/>
          <w:shd w:val="clear" w:color="auto" w:fill="E6E6E6"/>
        </w:rPr>
        <w:t xml:space="preserve"> associated with </w:t>
      </w:r>
      <w:proofErr w:type="gramStart"/>
      <w:r w:rsidRPr="000937A1">
        <w:rPr>
          <w:rFonts w:cstheme="minorHAnsi"/>
          <w:color w:val="111111"/>
          <w:sz w:val="24"/>
          <w:szCs w:val="24"/>
          <w:shd w:val="clear" w:color="auto" w:fill="E6E6E6"/>
        </w:rPr>
        <w:t>a 50 percent increased odds of survival</w:t>
      </w:r>
      <w:proofErr w:type="gramEnd"/>
      <w:r w:rsidRPr="000937A1">
        <w:rPr>
          <w:rFonts w:cstheme="minorHAnsi"/>
          <w:color w:val="111111"/>
          <w:sz w:val="24"/>
          <w:szCs w:val="24"/>
          <w:shd w:val="clear" w:color="auto" w:fill="E6E6E6"/>
        </w:rPr>
        <w:t xml:space="preserve"> relative to those lacking support” (Ganz et. al.,2015). As a practicing registered dietitian, I have noticed that my patients who have a strong support system tend to have better outcomes versus those who do not. For example, when a patient is diagnosed with type 2 diabetes mellitus, their entire view on nutrition must change. Glucose control now becomes the </w:t>
      </w:r>
      <w:proofErr w:type="gramStart"/>
      <w:r w:rsidRPr="000937A1">
        <w:rPr>
          <w:rFonts w:cstheme="minorHAnsi"/>
          <w:color w:val="111111"/>
          <w:sz w:val="24"/>
          <w:szCs w:val="24"/>
          <w:shd w:val="clear" w:color="auto" w:fill="E6E6E6"/>
        </w:rPr>
        <w:t>main focus</w:t>
      </w:r>
      <w:proofErr w:type="gramEnd"/>
      <w:r w:rsidRPr="000937A1">
        <w:rPr>
          <w:rFonts w:cstheme="minorHAnsi"/>
          <w:color w:val="111111"/>
          <w:sz w:val="24"/>
          <w:szCs w:val="24"/>
          <w:shd w:val="clear" w:color="auto" w:fill="E6E6E6"/>
        </w:rPr>
        <w:t xml:space="preserve"> to prevent secondary complications such a stroke or heart attack. When a patient has a support system such as a spouse and </w:t>
      </w:r>
      <w:proofErr w:type="gramStart"/>
      <w:r w:rsidRPr="000937A1">
        <w:rPr>
          <w:rFonts w:cstheme="minorHAnsi"/>
          <w:color w:val="111111"/>
          <w:sz w:val="24"/>
          <w:szCs w:val="24"/>
          <w:shd w:val="clear" w:color="auto" w:fill="E6E6E6"/>
        </w:rPr>
        <w:t>children</w:t>
      </w:r>
      <w:proofErr w:type="gramEnd"/>
      <w:r w:rsidRPr="000937A1">
        <w:rPr>
          <w:rFonts w:cstheme="minorHAnsi"/>
          <w:color w:val="111111"/>
          <w:sz w:val="24"/>
          <w:szCs w:val="24"/>
          <w:shd w:val="clear" w:color="auto" w:fill="E6E6E6"/>
        </w:rPr>
        <w:t xml:space="preserve"> I see better compliance. When a patient has better compliance they have lower blood pressure readings, glucose readings and typically better weight management. I typically see this when a male is diagnosed with type 2 diabetes mellitus versus females. That is an interesting correlation that I have noticed over the last five years of practice. The spouse tends to provide accountability, which in most cases helps the recently diagnosed patient navigate through their lifestyle changes. If a patient does not have spousal or social </w:t>
      </w:r>
      <w:proofErr w:type="gramStart"/>
      <w:r w:rsidRPr="000937A1">
        <w:rPr>
          <w:rFonts w:cstheme="minorHAnsi"/>
          <w:color w:val="111111"/>
          <w:sz w:val="24"/>
          <w:szCs w:val="24"/>
          <w:shd w:val="clear" w:color="auto" w:fill="E6E6E6"/>
        </w:rPr>
        <w:t>support</w:t>
      </w:r>
      <w:proofErr w:type="gramEnd"/>
      <w:r w:rsidRPr="000937A1">
        <w:rPr>
          <w:rFonts w:cstheme="minorHAnsi"/>
          <w:color w:val="111111"/>
          <w:sz w:val="24"/>
          <w:szCs w:val="24"/>
          <w:shd w:val="clear" w:color="auto" w:fill="E6E6E6"/>
        </w:rPr>
        <w:t xml:space="preserve"> it is extremely difficult to navigate through the challenges of a disease. I had patients in the past become non-compliant because their spouse does not want to incorporate the necessary dietary changes. This is when we as providers try to be that support and accountability for them. For some of my patients, I am the only support they receive. This is a sad reality, but it does occur. The stressor of a disease as the stresses of life I think go </w:t>
      </w:r>
      <w:proofErr w:type="gramStart"/>
      <w:r w:rsidRPr="000937A1">
        <w:rPr>
          <w:rFonts w:cstheme="minorHAnsi"/>
          <w:color w:val="111111"/>
          <w:sz w:val="24"/>
          <w:szCs w:val="24"/>
          <w:shd w:val="clear" w:color="auto" w:fill="E6E6E6"/>
        </w:rPr>
        <w:t>hand-in-hand</w:t>
      </w:r>
      <w:proofErr w:type="gramEnd"/>
      <w:r w:rsidRPr="000937A1">
        <w:rPr>
          <w:rFonts w:cstheme="minorHAnsi"/>
          <w:color w:val="111111"/>
          <w:sz w:val="24"/>
          <w:szCs w:val="24"/>
          <w:shd w:val="clear" w:color="auto" w:fill="E6E6E6"/>
        </w:rPr>
        <w:t xml:space="preserve">. If the patient is stressed, we see increase cortisol levels, increased glucose levels, elevated blood pressure and lack of sleep. When this occurs, I try to find out the cause of the stressor and if there is a positive solution within my scope of practice. In severe cases, we recommend a referral to a behavior health specialist. Unfortunately, because of Covid-19 many people were confined to their homes in an uncertain world and </w:t>
      </w:r>
      <w:r w:rsidRPr="000937A1">
        <w:rPr>
          <w:rFonts w:cstheme="minorHAnsi"/>
          <w:color w:val="111111"/>
          <w:sz w:val="24"/>
          <w:szCs w:val="24"/>
          <w:shd w:val="clear" w:color="auto" w:fill="E6E6E6"/>
        </w:rPr>
        <w:lastRenderedPageBreak/>
        <w:t xml:space="preserve">sought comfort through food and alcohol. This type of behavior led to increased weight gain and in some cases a tough diagnosis. This in turn turned into more stress. Some of our nutrition consults end up being stress management appointments because the patient feels more of a safe space with us than with their provider. We as registered dietitians are also able to spend approximated forty-five minutes to one hour with our patients versus the five minutes they get with their provider. If we can provide that social support and be the buffer, then the patient feels more secure and empowered to make the lifestyle change. I truly believe that these supports systems can make or break a person. If there is no </w:t>
      </w:r>
      <w:proofErr w:type="gramStart"/>
      <w:r w:rsidRPr="000937A1">
        <w:rPr>
          <w:rFonts w:cstheme="minorHAnsi"/>
          <w:color w:val="111111"/>
          <w:sz w:val="24"/>
          <w:szCs w:val="24"/>
          <w:shd w:val="clear" w:color="auto" w:fill="E6E6E6"/>
        </w:rPr>
        <w:t>support</w:t>
      </w:r>
      <w:proofErr w:type="gramEnd"/>
      <w:r w:rsidRPr="000937A1">
        <w:rPr>
          <w:rFonts w:cstheme="minorHAnsi"/>
          <w:color w:val="111111"/>
          <w:sz w:val="24"/>
          <w:szCs w:val="24"/>
          <w:shd w:val="clear" w:color="auto" w:fill="E6E6E6"/>
        </w:rPr>
        <w:t xml:space="preserve"> it can be an uphill battle and in some cases negative results. We as providers can only provide care during appointments, but that accountability and support can be what keeps a patient on track with their health goals.</w:t>
      </w:r>
      <w:r w:rsidR="00674AD6" w:rsidRPr="000937A1">
        <w:rPr>
          <w:rFonts w:cstheme="minorHAnsi"/>
          <w:b/>
          <w:bCs/>
          <w:sz w:val="24"/>
          <w:szCs w:val="24"/>
        </w:rPr>
        <w:tab/>
      </w:r>
    </w:p>
    <w:p w14:paraId="2E112050" w14:textId="4EC6FEBC" w:rsidR="007F1BBC" w:rsidRPr="007F1BBC" w:rsidRDefault="007F1BBC" w:rsidP="007F1BBC">
      <w:pPr>
        <w:tabs>
          <w:tab w:val="center" w:pos="4680"/>
          <w:tab w:val="left" w:pos="8100"/>
        </w:tabs>
        <w:spacing w:line="480" w:lineRule="auto"/>
        <w:ind w:firstLine="720"/>
        <w:rPr>
          <w:rFonts w:ascii="Times New Roman" w:hAnsi="Times New Roman" w:cs="Times New Roman"/>
          <w:b/>
          <w:bCs/>
          <w:sz w:val="24"/>
          <w:szCs w:val="24"/>
        </w:rPr>
      </w:pPr>
    </w:p>
    <w:p w14:paraId="4B110AC9" w14:textId="77777777" w:rsidR="009C25DA" w:rsidRDefault="009C25DA" w:rsidP="004F64F4">
      <w:pPr>
        <w:spacing w:line="480" w:lineRule="auto"/>
        <w:rPr>
          <w:rFonts w:ascii="Times New Roman" w:hAnsi="Times New Roman" w:cs="Times New Roman"/>
          <w:sz w:val="24"/>
          <w:szCs w:val="24"/>
        </w:rPr>
      </w:pPr>
    </w:p>
    <w:p w14:paraId="3A2F7F72" w14:textId="45A9333E" w:rsidR="001F400A" w:rsidRPr="00B44643" w:rsidRDefault="001F400A" w:rsidP="001F400A">
      <w:pPr>
        <w:spacing w:line="480" w:lineRule="auto"/>
        <w:rPr>
          <w:rFonts w:ascii="Times New Roman" w:hAnsi="Times New Roman" w:cs="Times New Roman"/>
          <w:sz w:val="24"/>
          <w:szCs w:val="24"/>
        </w:rPr>
      </w:pPr>
    </w:p>
    <w:sectPr w:rsidR="001F400A" w:rsidRPr="00B44643" w:rsidSect="00CD6641">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44F85" w14:textId="77777777" w:rsidR="00674AD6" w:rsidRDefault="00674AD6">
      <w:pPr>
        <w:spacing w:after="0" w:line="240" w:lineRule="auto"/>
      </w:pPr>
      <w:r>
        <w:separator/>
      </w:r>
    </w:p>
  </w:endnote>
  <w:endnote w:type="continuationSeparator" w:id="0">
    <w:p w14:paraId="2D61F457" w14:textId="77777777" w:rsidR="00674AD6" w:rsidRDefault="00674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0D85A" w14:textId="77777777" w:rsidR="00674AD6" w:rsidRDefault="00674AD6">
      <w:pPr>
        <w:spacing w:after="0" w:line="240" w:lineRule="auto"/>
      </w:pPr>
      <w:r>
        <w:separator/>
      </w:r>
    </w:p>
  </w:footnote>
  <w:footnote w:type="continuationSeparator" w:id="0">
    <w:p w14:paraId="2DC62D60" w14:textId="77777777" w:rsidR="00674AD6" w:rsidRDefault="00674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8DB17" w14:textId="7FC726D2" w:rsidR="00042D7B" w:rsidRPr="009C25DA" w:rsidRDefault="000937A1" w:rsidP="009C25DA">
    <w:pPr>
      <w:pStyle w:val="Header"/>
      <w:spacing w:line="480" w:lineRule="auto"/>
      <w:jc w:val="right"/>
      <w:rPr>
        <w:rFonts w:ascii="Times New Roman" w:hAnsi="Times New Roman" w:cs="Times New Roman"/>
        <w:sz w:val="24"/>
        <w:szCs w:val="24"/>
      </w:rPr>
    </w:pPr>
    <w:sdt>
      <w:sdtPr>
        <w:rPr>
          <w:rFonts w:ascii="Times New Roman" w:hAnsi="Times New Roman" w:cs="Times New Roman"/>
          <w:sz w:val="24"/>
          <w:szCs w:val="24"/>
        </w:rPr>
        <w:id w:val="-167723018"/>
        <w:docPartObj>
          <w:docPartGallery w:val="Page Numbers (Top of Page)"/>
          <w:docPartUnique/>
        </w:docPartObj>
      </w:sdtPr>
      <w:sdtEndPr>
        <w:rPr>
          <w:noProof/>
        </w:rPr>
      </w:sdtEndPr>
      <w:sdtContent>
        <w:r w:rsidR="009C25DA">
          <w:rPr>
            <w:rFonts w:ascii="Times New Roman" w:hAnsi="Times New Roman" w:cs="Times New Roman"/>
            <w:sz w:val="24"/>
            <w:szCs w:val="24"/>
          </w:rPr>
          <w:t xml:space="preserve">        </w:t>
        </w:r>
        <w:r w:rsidR="009C25DA" w:rsidRPr="009C25DA">
          <w:rPr>
            <w:rFonts w:ascii="Times New Roman" w:hAnsi="Times New Roman" w:cs="Times New Roman"/>
            <w:sz w:val="24"/>
            <w:szCs w:val="24"/>
          </w:rPr>
          <w:fldChar w:fldCharType="begin"/>
        </w:r>
        <w:r w:rsidR="009C25DA" w:rsidRPr="009C25DA">
          <w:rPr>
            <w:rFonts w:ascii="Times New Roman" w:hAnsi="Times New Roman" w:cs="Times New Roman"/>
            <w:sz w:val="24"/>
            <w:szCs w:val="24"/>
          </w:rPr>
          <w:instrText xml:space="preserve"> PAGE   \* MERGEFORMAT </w:instrText>
        </w:r>
        <w:r w:rsidR="009C25DA" w:rsidRPr="009C25DA">
          <w:rPr>
            <w:rFonts w:ascii="Times New Roman" w:hAnsi="Times New Roman" w:cs="Times New Roman"/>
            <w:sz w:val="24"/>
            <w:szCs w:val="24"/>
          </w:rPr>
          <w:fldChar w:fldCharType="separate"/>
        </w:r>
        <w:r w:rsidR="009C25DA" w:rsidRPr="009C25DA">
          <w:rPr>
            <w:rFonts w:ascii="Times New Roman" w:hAnsi="Times New Roman" w:cs="Times New Roman"/>
            <w:noProof/>
            <w:sz w:val="24"/>
            <w:szCs w:val="24"/>
          </w:rPr>
          <w:t>2</w:t>
        </w:r>
        <w:r w:rsidR="009C25DA" w:rsidRPr="009C25DA">
          <w:rPr>
            <w:rFonts w:ascii="Times New Roman" w:hAnsi="Times New Roman" w:cs="Times New Roman"/>
            <w:noProof/>
            <w:sz w:val="24"/>
            <w:szCs w:val="24"/>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91EFC" w14:textId="776C0560" w:rsidR="00042D7B" w:rsidRPr="009C25DA" w:rsidRDefault="00674AD6" w:rsidP="009C25DA">
    <w:pPr>
      <w:pStyle w:val="Heade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C25DA" w:rsidRPr="009C25DA">
      <w:rPr>
        <w:rFonts w:ascii="Times New Roman" w:hAnsi="Times New Roman" w:cs="Times New Roman"/>
        <w:sz w:val="24"/>
        <w:szCs w:val="24"/>
      </w:rPr>
      <w:t xml:space="preserve"> </w:t>
    </w:r>
    <w:sdt>
      <w:sdtPr>
        <w:rPr>
          <w:rFonts w:ascii="Times New Roman" w:hAnsi="Times New Roman" w:cs="Times New Roman"/>
          <w:sz w:val="24"/>
          <w:szCs w:val="24"/>
        </w:rPr>
        <w:id w:val="-373704112"/>
        <w:docPartObj>
          <w:docPartGallery w:val="Page Numbers (Top of Page)"/>
          <w:docPartUnique/>
        </w:docPartObj>
      </w:sdtPr>
      <w:sdtEndPr>
        <w:rPr>
          <w:noProof/>
        </w:rPr>
      </w:sdtEndPr>
      <w:sdtContent>
        <w:r w:rsidR="009C25DA">
          <w:rPr>
            <w:rFonts w:ascii="Times New Roman" w:hAnsi="Times New Roman" w:cs="Times New Roman"/>
            <w:sz w:val="24"/>
            <w:szCs w:val="24"/>
          </w:rPr>
          <w:t xml:space="preserve">                                                                                                                                      </w:t>
        </w:r>
        <w:r w:rsidR="009C25DA" w:rsidRPr="009C25DA">
          <w:rPr>
            <w:rFonts w:ascii="Times New Roman" w:hAnsi="Times New Roman" w:cs="Times New Roman"/>
            <w:sz w:val="24"/>
            <w:szCs w:val="24"/>
          </w:rPr>
          <w:fldChar w:fldCharType="begin"/>
        </w:r>
        <w:r w:rsidR="009C25DA" w:rsidRPr="009C25DA">
          <w:rPr>
            <w:rFonts w:ascii="Times New Roman" w:hAnsi="Times New Roman" w:cs="Times New Roman"/>
            <w:sz w:val="24"/>
            <w:szCs w:val="24"/>
          </w:rPr>
          <w:instrText xml:space="preserve"> PAGE   \* MERGEFORMAT </w:instrText>
        </w:r>
        <w:r w:rsidR="009C25DA" w:rsidRPr="009C25DA">
          <w:rPr>
            <w:rFonts w:ascii="Times New Roman" w:hAnsi="Times New Roman" w:cs="Times New Roman"/>
            <w:sz w:val="24"/>
            <w:szCs w:val="24"/>
          </w:rPr>
          <w:fldChar w:fldCharType="separate"/>
        </w:r>
        <w:r w:rsidR="009C25DA" w:rsidRPr="009C25DA">
          <w:rPr>
            <w:rFonts w:ascii="Times New Roman" w:hAnsi="Times New Roman" w:cs="Times New Roman"/>
            <w:noProof/>
            <w:sz w:val="24"/>
            <w:szCs w:val="24"/>
          </w:rPr>
          <w:t>2</w:t>
        </w:r>
        <w:r w:rsidR="009C25DA" w:rsidRPr="009C25DA">
          <w:rPr>
            <w:rFonts w:ascii="Times New Roman" w:hAnsi="Times New Roman" w:cs="Times New Roman"/>
            <w:noProof/>
            <w:sz w:val="24"/>
            <w:szCs w:val="24"/>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068"/>
    <w:rsid w:val="00015F45"/>
    <w:rsid w:val="00042D7B"/>
    <w:rsid w:val="000937A1"/>
    <w:rsid w:val="000A28EE"/>
    <w:rsid w:val="00157A75"/>
    <w:rsid w:val="001954E0"/>
    <w:rsid w:val="001E25D9"/>
    <w:rsid w:val="001F400A"/>
    <w:rsid w:val="00293847"/>
    <w:rsid w:val="002F3673"/>
    <w:rsid w:val="00302AF4"/>
    <w:rsid w:val="0031053C"/>
    <w:rsid w:val="0032145B"/>
    <w:rsid w:val="00360A7E"/>
    <w:rsid w:val="00360F69"/>
    <w:rsid w:val="004D11D0"/>
    <w:rsid w:val="004F64F4"/>
    <w:rsid w:val="00560D45"/>
    <w:rsid w:val="005F43DD"/>
    <w:rsid w:val="00674AD6"/>
    <w:rsid w:val="006B7FB1"/>
    <w:rsid w:val="007055A0"/>
    <w:rsid w:val="00791154"/>
    <w:rsid w:val="007F1BBC"/>
    <w:rsid w:val="008F6485"/>
    <w:rsid w:val="00907B26"/>
    <w:rsid w:val="00915153"/>
    <w:rsid w:val="00947C03"/>
    <w:rsid w:val="00960927"/>
    <w:rsid w:val="009A73DE"/>
    <w:rsid w:val="009C25DA"/>
    <w:rsid w:val="009C4887"/>
    <w:rsid w:val="009D3A16"/>
    <w:rsid w:val="00A75AF3"/>
    <w:rsid w:val="00AE25B8"/>
    <w:rsid w:val="00B156C7"/>
    <w:rsid w:val="00B44643"/>
    <w:rsid w:val="00BB7407"/>
    <w:rsid w:val="00BE1D3F"/>
    <w:rsid w:val="00C36B68"/>
    <w:rsid w:val="00CC5B5C"/>
    <w:rsid w:val="00CD6641"/>
    <w:rsid w:val="00D15068"/>
    <w:rsid w:val="00D15963"/>
    <w:rsid w:val="00D6191F"/>
    <w:rsid w:val="00E41EE2"/>
    <w:rsid w:val="00EA5A41"/>
    <w:rsid w:val="00EC65FB"/>
    <w:rsid w:val="00EF026F"/>
    <w:rsid w:val="00F33519"/>
    <w:rsid w:val="00F66D13"/>
    <w:rsid w:val="00FC7A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6C4EA"/>
  <w15:chartTrackingRefBased/>
  <w15:docId w15:val="{0597D19C-40E1-4447-88DE-D0090B954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66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641"/>
  </w:style>
  <w:style w:type="paragraph" w:styleId="Footer">
    <w:name w:val="footer"/>
    <w:basedOn w:val="Normal"/>
    <w:link w:val="FooterChar"/>
    <w:uiPriority w:val="99"/>
    <w:unhideWhenUsed/>
    <w:rsid w:val="00CD66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641"/>
  </w:style>
  <w:style w:type="character" w:styleId="Hyperlink">
    <w:name w:val="Hyperlink"/>
    <w:basedOn w:val="DefaultParagraphFont"/>
    <w:uiPriority w:val="99"/>
    <w:unhideWhenUsed/>
    <w:rsid w:val="001F400A"/>
    <w:rPr>
      <w:color w:val="0563C1" w:themeColor="hyperlink"/>
      <w:u w:val="single"/>
    </w:rPr>
  </w:style>
  <w:style w:type="character" w:customStyle="1" w:styleId="UnresolvedMention1">
    <w:name w:val="Unresolved Mention1"/>
    <w:basedOn w:val="DefaultParagraphFont"/>
    <w:uiPriority w:val="99"/>
    <w:semiHidden/>
    <w:unhideWhenUsed/>
    <w:rsid w:val="00293847"/>
    <w:rPr>
      <w:color w:val="605E5C"/>
      <w:shd w:val="clear" w:color="auto" w:fill="E1DFDD"/>
    </w:rPr>
  </w:style>
  <w:style w:type="paragraph" w:styleId="NormalWeb">
    <w:name w:val="Normal (Web)"/>
    <w:basedOn w:val="Normal"/>
    <w:uiPriority w:val="99"/>
    <w:unhideWhenUsed/>
    <w:rsid w:val="000937A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34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680</Words>
  <Characters>3882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Courtney Brown</cp:lastModifiedBy>
  <cp:revision>2</cp:revision>
  <dcterms:created xsi:type="dcterms:W3CDTF">2021-09-17T15:15:00Z</dcterms:created>
  <dcterms:modified xsi:type="dcterms:W3CDTF">2021-09-17T15:15:00Z</dcterms:modified>
</cp:coreProperties>
</file>